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C64F29" w:rsidRDefault="000A1AF9" w:rsidP="002C619A">
      <w:pPr>
        <w:pStyle w:val="Ttulo"/>
        <w:rPr>
          <w:rFonts w:ascii="Calibri" w:hAnsi="Calibri" w:cs="Courier New"/>
          <w:b/>
          <w:szCs w:val="28"/>
        </w:rPr>
      </w:pPr>
      <w:r w:rsidRPr="00C64F29">
        <w:rPr>
          <w:rFonts w:ascii="Calibri" w:hAnsi="Calibri" w:cs="Courier New"/>
          <w:b/>
          <w:szCs w:val="28"/>
        </w:rPr>
        <w:t xml:space="preserve">INDICAÇÃO </w:t>
      </w:r>
      <w:r w:rsidR="00C64F29" w:rsidRPr="00C64F29">
        <w:rPr>
          <w:rFonts w:ascii="Calibri" w:hAnsi="Calibri" w:cs="Courier New"/>
          <w:b/>
          <w:szCs w:val="28"/>
        </w:rPr>
        <w:t>N</w:t>
      </w:r>
      <w:r w:rsidR="001C1038" w:rsidRPr="00C64F29">
        <w:rPr>
          <w:rFonts w:ascii="Calibri" w:hAnsi="Calibri" w:cs="Courier New"/>
          <w:b/>
          <w:szCs w:val="28"/>
        </w:rPr>
        <w:t>º</w:t>
      </w:r>
      <w:r w:rsidRPr="00C64F29">
        <w:rPr>
          <w:rFonts w:ascii="Calibri" w:hAnsi="Calibri" w:cs="Courier New"/>
          <w:b/>
          <w:szCs w:val="28"/>
        </w:rPr>
        <w:t xml:space="preserve"> </w:t>
      </w:r>
      <w:r w:rsidR="00C64F29">
        <w:rPr>
          <w:rFonts w:ascii="Calibri" w:hAnsi="Calibri" w:cs="Courier New"/>
          <w:b/>
          <w:szCs w:val="28"/>
        </w:rPr>
        <w:t>644</w:t>
      </w:r>
      <w:r w:rsidR="003211CA" w:rsidRPr="00C64F29">
        <w:rPr>
          <w:rFonts w:ascii="Calibri" w:hAnsi="Calibri" w:cs="Courier New"/>
          <w:b/>
          <w:szCs w:val="28"/>
        </w:rPr>
        <w:t>/2021</w:t>
      </w:r>
    </w:p>
    <w:p w:rsidR="002C619A" w:rsidRPr="005310C6" w:rsidRDefault="002C619A" w:rsidP="002C619A">
      <w:pPr>
        <w:pStyle w:val="Corpodetexto"/>
        <w:ind w:firstLine="3572"/>
        <w:rPr>
          <w:rFonts w:ascii="Calibri" w:hAnsi="Calibri" w:cs="Courier New"/>
          <w:sz w:val="24"/>
          <w:szCs w:val="24"/>
        </w:rPr>
      </w:pPr>
    </w:p>
    <w:p w:rsidR="002C619A" w:rsidRDefault="002C619A" w:rsidP="005310C6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C64F29" w:rsidRPr="005310C6" w:rsidRDefault="00C64F29" w:rsidP="005310C6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8610F8" w:rsidRDefault="00273043" w:rsidP="00C64F29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ENCAMINHO</w:t>
      </w:r>
      <w:r w:rsidR="00233F18">
        <w:rPr>
          <w:rFonts w:ascii="Calibri" w:hAnsi="Calibri" w:cs="Arial"/>
          <w:sz w:val="24"/>
          <w:szCs w:val="24"/>
        </w:rPr>
        <w:t xml:space="preserve"> minuta de projeto de l</w:t>
      </w:r>
      <w:r w:rsidR="006A1453">
        <w:rPr>
          <w:rFonts w:ascii="Calibri" w:hAnsi="Calibri" w:cs="Arial"/>
          <w:sz w:val="24"/>
          <w:szCs w:val="24"/>
        </w:rPr>
        <w:t>ei q</w:t>
      </w:r>
      <w:r w:rsidR="00CF20F7">
        <w:rPr>
          <w:rFonts w:ascii="Calibri" w:hAnsi="Calibri" w:cs="Arial"/>
          <w:sz w:val="24"/>
          <w:szCs w:val="24"/>
        </w:rPr>
        <w:t xml:space="preserve">ue </w:t>
      </w:r>
      <w:r w:rsidR="00100163">
        <w:rPr>
          <w:rFonts w:ascii="Calibri" w:hAnsi="Calibri" w:cs="Arial"/>
          <w:sz w:val="24"/>
          <w:szCs w:val="24"/>
        </w:rPr>
        <w:t>Dispõe sobre procedimentos a serem adotados pelas empresas que comercializam veículos automotores usados, no âmbito do município de Louveira,</w:t>
      </w:r>
      <w:r w:rsidR="00D33A4E">
        <w:rPr>
          <w:rFonts w:ascii="Calibri" w:hAnsi="Calibri" w:cs="Arial"/>
          <w:sz w:val="24"/>
          <w:szCs w:val="24"/>
        </w:rPr>
        <w:t xml:space="preserve"> solicitando</w:t>
      </w:r>
      <w:r w:rsidR="00233F18">
        <w:rPr>
          <w:rFonts w:ascii="Calibri" w:hAnsi="Calibri" w:cs="Arial"/>
          <w:sz w:val="24"/>
          <w:szCs w:val="24"/>
        </w:rPr>
        <w:t xml:space="preserve"> que o Executivo envie projeto de lei de igual teor, uma vez que se trata de matéria de iniciativa privativa do Executivo.</w:t>
      </w:r>
    </w:p>
    <w:p w:rsidR="00974DA9" w:rsidRDefault="00974DA9" w:rsidP="00974DA9">
      <w:pPr>
        <w:jc w:val="both"/>
        <w:rPr>
          <w:rFonts w:ascii="Calibri" w:hAnsi="Calibri" w:cs="Times"/>
          <w:color w:val="000000"/>
          <w:sz w:val="24"/>
          <w:szCs w:val="24"/>
        </w:rPr>
      </w:pPr>
    </w:p>
    <w:p w:rsidR="00C64F29" w:rsidRPr="00875F48" w:rsidRDefault="00C64F29" w:rsidP="00974DA9">
      <w:pPr>
        <w:jc w:val="both"/>
        <w:rPr>
          <w:rFonts w:ascii="Calibri" w:hAnsi="Calibri" w:cs="Times"/>
          <w:color w:val="000000"/>
          <w:sz w:val="24"/>
          <w:szCs w:val="24"/>
        </w:rPr>
      </w:pPr>
    </w:p>
    <w:p w:rsidR="0035301B" w:rsidRDefault="0035301B" w:rsidP="002C619A">
      <w:pPr>
        <w:jc w:val="right"/>
        <w:rPr>
          <w:rFonts w:ascii="Calibri" w:hAnsi="Calibri" w:cs="Courier New"/>
          <w:bCs/>
          <w:sz w:val="24"/>
          <w:szCs w:val="24"/>
        </w:rPr>
      </w:pPr>
    </w:p>
    <w:p w:rsidR="002C619A" w:rsidRPr="005310C6" w:rsidRDefault="000A1AF9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bCs/>
          <w:sz w:val="24"/>
          <w:szCs w:val="24"/>
        </w:rPr>
        <w:t xml:space="preserve">  </w:t>
      </w: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0A1AF9" w:rsidP="002C619A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2F05F7">
        <w:rPr>
          <w:rFonts w:ascii="Calibri" w:hAnsi="Calibri" w:cs="Courier New"/>
          <w:sz w:val="24"/>
          <w:szCs w:val="24"/>
        </w:rPr>
        <w:t>30</w:t>
      </w:r>
      <w:r w:rsidRPr="005310C6">
        <w:rPr>
          <w:rFonts w:ascii="Calibri" w:hAnsi="Calibri" w:cs="Courier New"/>
          <w:sz w:val="24"/>
          <w:szCs w:val="24"/>
        </w:rPr>
        <w:t xml:space="preserve"> de </w:t>
      </w:r>
      <w:r w:rsidR="003211CA">
        <w:rPr>
          <w:rFonts w:ascii="Calibri" w:hAnsi="Calibri" w:cs="Courier New"/>
          <w:sz w:val="24"/>
          <w:szCs w:val="24"/>
        </w:rPr>
        <w:t>setembro 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2C619A">
      <w:pPr>
        <w:jc w:val="right"/>
        <w:rPr>
          <w:rFonts w:ascii="Calibri" w:hAnsi="Calibri" w:cs="Courier New"/>
          <w:sz w:val="24"/>
          <w:szCs w:val="24"/>
        </w:rPr>
      </w:pPr>
      <w:bookmarkStart w:id="0" w:name="_GoBack"/>
      <w:bookmarkEnd w:id="0"/>
    </w:p>
    <w:p w:rsidR="002C619A" w:rsidRPr="005310C6" w:rsidRDefault="000A1AF9" w:rsidP="002C619A">
      <w:pPr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C7730C" w:rsidRPr="005310C6" w:rsidRDefault="00C7730C" w:rsidP="002C619A">
      <w:pPr>
        <w:rPr>
          <w:rFonts w:ascii="Calibri" w:hAnsi="Calibri" w:cs="Courier New"/>
          <w:sz w:val="24"/>
          <w:szCs w:val="24"/>
        </w:rPr>
      </w:pPr>
    </w:p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37516E" w:rsidRDefault="0037516E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C64F29" w:rsidRDefault="00C64F29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C64F29" w:rsidRDefault="00C64F29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C64F29" w:rsidRDefault="00C64F29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C64F29" w:rsidRDefault="00C64F29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C64F29" w:rsidRDefault="00C64F29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C64F29" w:rsidRDefault="00C64F29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C64F29" w:rsidRDefault="00C64F29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C64F29" w:rsidRDefault="00C64F29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C64F29" w:rsidRDefault="00C64F29" w:rsidP="00B95C43">
      <w:pPr>
        <w:jc w:val="center"/>
        <w:rPr>
          <w:rFonts w:ascii="Calibri" w:hAnsi="Calibri" w:cs="Courier New"/>
          <w:b/>
          <w:sz w:val="24"/>
          <w:szCs w:val="24"/>
        </w:rPr>
      </w:pPr>
    </w:p>
    <w:p w:rsidR="003211CA" w:rsidRDefault="000A1AF9" w:rsidP="003211CA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JOSÉ MARCOS RODRIGUES DE OLIVEIRA</w:t>
      </w:r>
    </w:p>
    <w:p w:rsidR="003211CA" w:rsidRDefault="000A1AF9" w:rsidP="003211CA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(Marquinhos do Leite)</w:t>
      </w:r>
    </w:p>
    <w:p w:rsidR="003211CA" w:rsidRDefault="000A1AF9" w:rsidP="003211CA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3211CA" w:rsidRDefault="003211CA" w:rsidP="003211CA">
      <w:pPr>
        <w:jc w:val="center"/>
        <w:rPr>
          <w:rFonts w:ascii="Calibri" w:hAnsi="Calibri" w:cs="Calibri"/>
          <w:sz w:val="24"/>
          <w:szCs w:val="24"/>
        </w:rPr>
      </w:pPr>
    </w:p>
    <w:p w:rsidR="002C619A" w:rsidRPr="00C64F29" w:rsidRDefault="000A1AF9" w:rsidP="00C64F29">
      <w:pPr>
        <w:pStyle w:val="Ttulo1"/>
        <w:jc w:val="center"/>
        <w:rPr>
          <w:rFonts w:ascii="Calibri" w:hAnsi="Calibri" w:cs="Courier New"/>
          <w:sz w:val="24"/>
          <w:szCs w:val="24"/>
          <w:u w:val="none"/>
        </w:rPr>
      </w:pPr>
      <w:r w:rsidRPr="00C64F29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6A1453" w:rsidRDefault="006A1453" w:rsidP="009275EA">
      <w:pPr>
        <w:jc w:val="center"/>
        <w:rPr>
          <w:rFonts w:ascii="Calibri" w:hAnsi="Calibri" w:cs="Courier New"/>
          <w:bCs/>
          <w:iCs/>
        </w:rPr>
      </w:pPr>
    </w:p>
    <w:p w:rsidR="00100163" w:rsidRPr="00100163" w:rsidRDefault="000A1AF9" w:rsidP="00C64F29">
      <w:pPr>
        <w:spacing w:line="276" w:lineRule="auto"/>
        <w:ind w:firstLine="1418"/>
        <w:jc w:val="both"/>
        <w:rPr>
          <w:rFonts w:ascii="Calibri" w:eastAsiaTheme="minorEastAsia" w:hAnsi="Calibri" w:cs="Arial"/>
          <w:sz w:val="24"/>
          <w:szCs w:val="24"/>
        </w:rPr>
      </w:pPr>
      <w:r w:rsidRPr="00100163">
        <w:rPr>
          <w:rFonts w:ascii="Calibri" w:eastAsiaTheme="minorEastAsia" w:hAnsi="Calibri" w:cs="Arial"/>
          <w:sz w:val="24"/>
          <w:szCs w:val="24"/>
        </w:rPr>
        <w:t>O presente projeto de Lei NÃO CRIA NENHUMA LEI DE CONSUMO, tão somente OBRIGA A DIVULGAÇÃO de legislação federal que protege e defende a relação de consumo</w:t>
      </w:r>
      <w:r>
        <w:rPr>
          <w:rFonts w:ascii="Calibri" w:eastAsiaTheme="minorEastAsia" w:hAnsi="Calibri" w:cs="Arial"/>
          <w:sz w:val="24"/>
          <w:szCs w:val="24"/>
        </w:rPr>
        <w:t xml:space="preserve">. </w:t>
      </w:r>
      <w:r w:rsidRPr="00100163">
        <w:rPr>
          <w:rFonts w:ascii="Calibri" w:eastAsiaTheme="minorEastAsia" w:hAnsi="Calibri" w:cs="Arial"/>
          <w:sz w:val="24"/>
          <w:szCs w:val="24"/>
        </w:rPr>
        <w:t xml:space="preserve">A presente propositura visa contribuir com o cumprimento do Artigo 6º do Código de Defesa do Consumidor, no tocante a publicidade dos atos do comércio.  </w:t>
      </w:r>
    </w:p>
    <w:p w:rsidR="00100163" w:rsidRPr="00100163" w:rsidRDefault="000A1AF9" w:rsidP="00C64F29">
      <w:pPr>
        <w:spacing w:after="200" w:line="276" w:lineRule="auto"/>
        <w:ind w:firstLine="1418"/>
        <w:jc w:val="both"/>
        <w:rPr>
          <w:rFonts w:ascii="Calibri" w:eastAsiaTheme="minorEastAsia" w:hAnsi="Calibri" w:cs="Arial"/>
          <w:sz w:val="24"/>
          <w:szCs w:val="24"/>
        </w:rPr>
      </w:pPr>
      <w:r w:rsidRPr="00100163">
        <w:rPr>
          <w:rFonts w:ascii="Calibri" w:eastAsiaTheme="minorEastAsia" w:hAnsi="Calibri" w:cs="Arial"/>
          <w:sz w:val="24"/>
          <w:szCs w:val="24"/>
        </w:rPr>
        <w:t>Há uma quantidade de irregularidades apontadas pelos consumidores em relação ao comércio local de veículos, no qual vem trazendo inúmeros prejuízos aos consumidores do Município de Louveira.</w:t>
      </w:r>
    </w:p>
    <w:p w:rsidR="00100163" w:rsidRPr="00100163" w:rsidRDefault="000A1AF9" w:rsidP="00C64F29">
      <w:pPr>
        <w:spacing w:line="276" w:lineRule="auto"/>
        <w:ind w:firstLine="1418"/>
        <w:jc w:val="both"/>
        <w:rPr>
          <w:rFonts w:ascii="Calibri" w:eastAsiaTheme="minorEastAsia" w:hAnsi="Calibri" w:cs="Arial"/>
          <w:sz w:val="24"/>
          <w:szCs w:val="24"/>
        </w:rPr>
      </w:pPr>
      <w:r w:rsidRPr="00100163">
        <w:rPr>
          <w:rFonts w:ascii="Calibri" w:eastAsiaTheme="minorEastAsia" w:hAnsi="Calibri" w:cs="Arial"/>
          <w:sz w:val="24"/>
          <w:szCs w:val="24"/>
        </w:rPr>
        <w:lastRenderedPageBreak/>
        <w:t>O Código de Defesa do Consumidor determina a clara publicidade dos serviços e produtos oferecidos ao consumidor quando da aquisição de bens e serviços.</w:t>
      </w:r>
    </w:p>
    <w:p w:rsidR="00100163" w:rsidRPr="00100163" w:rsidRDefault="000A1AF9" w:rsidP="00C64F29">
      <w:pPr>
        <w:spacing w:line="276" w:lineRule="auto"/>
        <w:ind w:firstLine="1418"/>
        <w:jc w:val="both"/>
        <w:rPr>
          <w:rFonts w:ascii="Calibri" w:eastAsiaTheme="minorEastAsia" w:hAnsi="Calibri" w:cs="Arial"/>
          <w:sz w:val="24"/>
          <w:szCs w:val="24"/>
        </w:rPr>
      </w:pPr>
      <w:r w:rsidRPr="00100163">
        <w:rPr>
          <w:rFonts w:ascii="Calibri" w:eastAsiaTheme="minorEastAsia" w:hAnsi="Calibri" w:cs="Arial"/>
          <w:sz w:val="24"/>
          <w:szCs w:val="24"/>
        </w:rPr>
        <w:t>Ainda, há determinação legal, por decorrência da Lei Federal 13.111/2015, no qual já obriga a apresentação do histórico do veículo quando da comercialização do mesmo.</w:t>
      </w:r>
    </w:p>
    <w:p w:rsidR="00100163" w:rsidRPr="00100163" w:rsidRDefault="000A1AF9" w:rsidP="00C64F29">
      <w:pPr>
        <w:spacing w:line="276" w:lineRule="auto"/>
        <w:ind w:firstLine="1418"/>
        <w:jc w:val="both"/>
        <w:rPr>
          <w:rFonts w:ascii="Calibri" w:eastAsiaTheme="minorEastAsia" w:hAnsi="Calibri" w:cs="Arial"/>
          <w:sz w:val="24"/>
          <w:szCs w:val="24"/>
        </w:rPr>
      </w:pPr>
      <w:r w:rsidRPr="00100163">
        <w:rPr>
          <w:rFonts w:ascii="Calibri" w:eastAsiaTheme="minorEastAsia" w:hAnsi="Calibri" w:cs="Arial"/>
          <w:sz w:val="24"/>
          <w:szCs w:val="24"/>
        </w:rPr>
        <w:t xml:space="preserve">Por fim, em resolução emitida pelo Banco Central, 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>CMN </w:t>
      </w:r>
      <w:hyperlink r:id="rId8" w:tgtFrame="_self" w:history="1">
        <w:r w:rsidRPr="00100163">
          <w:rPr>
            <w:rFonts w:ascii="Calibri" w:eastAsiaTheme="minorEastAsia" w:hAnsi="Calibri" w:cs="Arial"/>
            <w:bCs/>
            <w:sz w:val="24"/>
            <w:szCs w:val="24"/>
          </w:rPr>
          <w:t>3.518/07</w:t>
        </w:r>
      </w:hyperlink>
      <w:r w:rsidRPr="00100163">
        <w:rPr>
          <w:rFonts w:ascii="Calibri" w:eastAsiaTheme="minorEastAsia" w:hAnsi="Calibri" w:cs="Arial"/>
          <w:bCs/>
          <w:sz w:val="24"/>
          <w:szCs w:val="24"/>
        </w:rPr>
        <w:t>, houve a proibição da cobrança de qualquer taxa relativa a abertura de crédito, o qual não vem sendo cumprida pelo comércio local.</w:t>
      </w:r>
    </w:p>
    <w:p w:rsidR="00100163" w:rsidRPr="00100163" w:rsidRDefault="000A1AF9" w:rsidP="00C64F29">
      <w:pPr>
        <w:spacing w:after="200" w:line="276" w:lineRule="auto"/>
        <w:ind w:firstLine="1418"/>
        <w:jc w:val="both"/>
        <w:rPr>
          <w:rFonts w:ascii="Calibri" w:eastAsiaTheme="minorEastAsia" w:hAnsi="Calibri" w:cs="Arial"/>
          <w:sz w:val="24"/>
          <w:szCs w:val="24"/>
        </w:rPr>
      </w:pPr>
      <w:r w:rsidRPr="00100163">
        <w:rPr>
          <w:rFonts w:ascii="Calibri" w:eastAsiaTheme="minorEastAsia" w:hAnsi="Calibri" w:cs="Arial"/>
          <w:sz w:val="24"/>
          <w:szCs w:val="24"/>
        </w:rPr>
        <w:t xml:space="preserve">A presente iniciativa servirá para auxiliar os consumidores obterem todas as informações relativas ao veículo a ser adquirido, sendo que este Vereador por ser afeto ao direito do consumidor e manter convívio diário com a matéria pode afirmar categoricamente que diariamente consumidores são lesados com falsas informações bem como sonegação de informações. </w:t>
      </w:r>
    </w:p>
    <w:p w:rsidR="0072412E" w:rsidRPr="0072412E" w:rsidRDefault="0072412E" w:rsidP="00AE3E0C">
      <w:pPr>
        <w:suppressAutoHyphens/>
        <w:jc w:val="center"/>
        <w:rPr>
          <w:sz w:val="24"/>
          <w:szCs w:val="24"/>
          <w:lang w:eastAsia="ar-SA"/>
        </w:rPr>
      </w:pPr>
    </w:p>
    <w:p w:rsidR="007246C1" w:rsidRPr="007246C1" w:rsidRDefault="007246C1" w:rsidP="00BD31C1">
      <w:pPr>
        <w:spacing w:after="160" w:line="259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:rsidR="009B64C2" w:rsidRDefault="009B64C2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bookmarkStart w:id="1" w:name="page3"/>
      <w:bookmarkEnd w:id="1"/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6A52F6" w:rsidRDefault="000A1AF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3B9A">
        <w:rPr>
          <w:rFonts w:ascii="Calibri" w:hAnsi="Calibri"/>
          <w:b/>
          <w:sz w:val="24"/>
          <w:szCs w:val="24"/>
        </w:rPr>
        <w:t>PROJETO DE LEI Nº</w:t>
      </w:r>
    </w:p>
    <w:p w:rsidR="00F13B9A" w:rsidRDefault="00F13B9A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C64F29" w:rsidRPr="00F13B9A" w:rsidRDefault="00C64F29" w:rsidP="009A28F7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</w:p>
    <w:p w:rsidR="00100163" w:rsidRPr="00100163" w:rsidRDefault="00C64F29" w:rsidP="00C64F29">
      <w:pPr>
        <w:keepNext/>
        <w:ind w:left="3261"/>
        <w:jc w:val="both"/>
        <w:outlineLvl w:val="0"/>
        <w:rPr>
          <w:rFonts w:ascii="Calibri" w:hAnsi="Calibri" w:cs="Arial"/>
          <w:iCs/>
          <w:sz w:val="24"/>
          <w:szCs w:val="24"/>
        </w:rPr>
      </w:pPr>
      <w:r w:rsidRPr="00100163">
        <w:rPr>
          <w:rFonts w:ascii="Calibri" w:hAnsi="Calibri" w:cs="Arial"/>
          <w:b/>
          <w:iCs/>
          <w:sz w:val="24"/>
          <w:szCs w:val="24"/>
        </w:rPr>
        <w:t>DISPÕE SOBRE PROCEDIMENTOS A SEREM ADOTADOS PELAS EMPRESAS QUE COMERCIALIZAM VEÍCULOS AUTOMOTORES USADOS, NO ÂMBITO DO MUNICÍPIO DE LOUVEIRA.</w:t>
      </w:r>
    </w:p>
    <w:p w:rsidR="00100163" w:rsidRDefault="00100163" w:rsidP="00100163">
      <w:pPr>
        <w:rPr>
          <w:rFonts w:ascii="Calibri" w:hAnsi="Calibri" w:cs="Arial"/>
          <w:sz w:val="24"/>
          <w:szCs w:val="24"/>
        </w:rPr>
      </w:pPr>
    </w:p>
    <w:p w:rsidR="00C64F29" w:rsidRDefault="00C64F29" w:rsidP="00100163">
      <w:pPr>
        <w:rPr>
          <w:rFonts w:ascii="Calibri" w:hAnsi="Calibri" w:cs="Arial"/>
          <w:sz w:val="24"/>
          <w:szCs w:val="24"/>
        </w:rPr>
      </w:pPr>
    </w:p>
    <w:p w:rsidR="00C64F29" w:rsidRDefault="00C64F29" w:rsidP="00100163">
      <w:pPr>
        <w:rPr>
          <w:rFonts w:ascii="Calibri" w:hAnsi="Calibri" w:cs="Arial"/>
          <w:sz w:val="24"/>
          <w:szCs w:val="24"/>
        </w:rPr>
      </w:pPr>
    </w:p>
    <w:p w:rsidR="00C64F29" w:rsidRPr="00100163" w:rsidRDefault="00C64F29" w:rsidP="00100163">
      <w:pPr>
        <w:rPr>
          <w:rFonts w:ascii="Calibri" w:hAnsi="Calibri" w:cs="Arial"/>
          <w:sz w:val="24"/>
          <w:szCs w:val="24"/>
        </w:rPr>
      </w:pP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Art. 1º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>.</w:t>
      </w: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 xml:space="preserve"> 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>Em cumprimento ao disposto no artigo 6º, incisos III e IV do Código de Defesa do Consumidor, as empresas que comercializam veículos automotores usados, no âmbito do município de Louveira, são obrigadas a fixar nos veículos as seguintes informações: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 xml:space="preserve">I 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>– Marca/Modelo;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 xml:space="preserve">II 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>– Ano/Modelo;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III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 – Valor do Veículo;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IV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 – Quilometragem;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V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 – Tipo de Transmissão/Câmbio;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VI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 – Itens de Série.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§ 1º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. Essas informações deverão ser fixadas preferencialmente no para-brisa do veículo, devendo ter </w:t>
      </w:r>
      <w:r w:rsidRPr="00100163">
        <w:rPr>
          <w:rFonts w:ascii="Calibri" w:eastAsiaTheme="minorEastAsia" w:hAnsi="Calibri" w:cs="Arial"/>
          <w:color w:val="222222"/>
          <w:sz w:val="24"/>
          <w:szCs w:val="24"/>
          <w:shd w:val="clear" w:color="auto" w:fill="FFFFFF"/>
        </w:rPr>
        <w:t>as dimensões de 210 mm de largura e 297 mm de altura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>, equivalente a folha A4.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§ 2º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>. No item VI, deverá constar se o veículo é equipado com ar-condicionado, direção hidráulica ou elétrica, vidros elétricos e alarme.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§ 3º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. Caso o veículo seja oferecido na modalidade de consignado, deverá constar a informação de forma clara, não excluindo a responsabilidade do lojista em relação às garantias previstas no Código de Defesa do Consumidor. 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§ 4º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>. A presente lei aplica-se a todo tipo de veículo que possua registro no sistema nacional de trânsito.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lastRenderedPageBreak/>
        <w:t>Art. 2º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>. As empresas que comercializam veículos automotores usados são obrigadas a apresentar a consulta cautelar do veículo automotor, em conformidade com a Lei Federal 13.111 de 25 de março de 2015, além do contrato de compra e venda.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Parágrafo Único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. Quando da venda do veículo deverá ser arquivado o comprovante de entrega ao consumidor do contrato de compra e venda e da consulta cautelar a que se refere o </w:t>
      </w:r>
      <w:r w:rsidRPr="00100163">
        <w:rPr>
          <w:rFonts w:ascii="Calibri" w:eastAsiaTheme="minorEastAsia" w:hAnsi="Calibri" w:cs="Arial"/>
          <w:bCs/>
          <w:i/>
          <w:sz w:val="24"/>
          <w:szCs w:val="24"/>
        </w:rPr>
        <w:t>caput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 para o comprador do veículo, documentos estes que deverão permanecer no estabelecimento a disposição das autoridades fiscalizadoras. 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Art. 3º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>. Fica obrigada a exibição de forma clara de quais instituições financeiras são oferecidas para financiamento dos veículos, com as seguintes informações: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 xml:space="preserve">I 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>– Nome da Instituição Financeira;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II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 – Taxa de juros e encargos aplicados no financiamento;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III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 – Número mínimo e máximo de parcelas oferecidas;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IV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 – Telefone e ou outros meios de contato com o agente financeiro.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Art. 4º.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 Essas informações deverão constar em placas e ou cartazes em cada entrada do estabelecimento e uma dentro do escritório comercial (local de assinatura do contrato), obedecendo aos seguintes critérios mínimos de tamanho e dimensões e características: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I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 – Cabeçalho onde deverá constar a seguinte expressão “Opções e Condições de Financiamento”, com letra de no mínimo 100 mm de altura;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II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 – Letras em vermelho e fundo amarelo;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III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 – Sem a disposição de qualquer tipo de meio ou propaganda que possa influenciar o consumidor;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IV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 – Constar no rodapé a seguinte disposição “De acordo com a Resolução CMN </w:t>
      </w:r>
      <w:hyperlink r:id="rId9" w:tgtFrame="_self" w:history="1">
        <w:r w:rsidRPr="00100163">
          <w:rPr>
            <w:rFonts w:ascii="Calibri" w:eastAsiaTheme="minorEastAsia" w:hAnsi="Calibri" w:cs="Arial"/>
            <w:bCs/>
            <w:sz w:val="24"/>
            <w:szCs w:val="24"/>
          </w:rPr>
          <w:t>3.518/07</w:t>
        </w:r>
      </w:hyperlink>
      <w:r w:rsidRPr="00100163">
        <w:rPr>
          <w:rFonts w:ascii="Calibri" w:eastAsiaTheme="minorEastAsia" w:hAnsi="Calibri" w:cs="Arial"/>
          <w:bCs/>
          <w:sz w:val="24"/>
          <w:szCs w:val="24"/>
        </w:rPr>
        <w:t>, emitida pelo Banco Central, não é permitida a cobrança de qualquer taxa relativa à abertura de crédito;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bCs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V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 – Constar o número da referida Lei.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sz w:val="24"/>
          <w:szCs w:val="24"/>
        </w:rPr>
      </w:pPr>
      <w:r w:rsidRPr="00100163">
        <w:rPr>
          <w:rFonts w:ascii="Calibri" w:eastAsiaTheme="minorEastAsia" w:hAnsi="Calibri" w:cs="Arial"/>
          <w:b/>
          <w:bCs/>
          <w:sz w:val="24"/>
          <w:szCs w:val="24"/>
        </w:rPr>
        <w:t>Art. 5º</w:t>
      </w:r>
      <w:r w:rsidRPr="00100163">
        <w:rPr>
          <w:rFonts w:ascii="Calibri" w:eastAsiaTheme="minorEastAsia" w:hAnsi="Calibri" w:cs="Arial"/>
          <w:bCs/>
          <w:sz w:val="24"/>
          <w:szCs w:val="24"/>
        </w:rPr>
        <w:t xml:space="preserve">. </w:t>
      </w:r>
      <w:r w:rsidRPr="00100163">
        <w:rPr>
          <w:rFonts w:ascii="Calibri" w:eastAsiaTheme="minorEastAsia" w:hAnsi="Calibri" w:cs="Arial"/>
          <w:sz w:val="24"/>
          <w:szCs w:val="24"/>
        </w:rPr>
        <w:t>O descumprimento da presente Lei fica sujeito o infrator a uma multa de 100 (cem) UFM diária até o cumprimento da exigência, constituindo também infração a presente a Lei a imprecisão de qualquer das informações especificadas pela presente.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sz w:val="24"/>
          <w:szCs w:val="24"/>
        </w:rPr>
      </w:pPr>
      <w:r w:rsidRPr="00100163">
        <w:rPr>
          <w:rFonts w:ascii="Calibri" w:eastAsiaTheme="minorEastAsia" w:hAnsi="Calibri" w:cs="Arial"/>
          <w:b/>
          <w:sz w:val="24"/>
          <w:szCs w:val="24"/>
        </w:rPr>
        <w:t>§ 1º</w:t>
      </w:r>
      <w:r w:rsidRPr="00100163">
        <w:rPr>
          <w:rFonts w:ascii="Calibri" w:eastAsiaTheme="minorEastAsia" w:hAnsi="Calibri" w:cs="Arial"/>
          <w:sz w:val="24"/>
          <w:szCs w:val="24"/>
        </w:rPr>
        <w:t>. No caso de reincidência no período de 5 (cinco) anos o valor da multa será cobrado de forma dobrada.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sz w:val="24"/>
          <w:szCs w:val="24"/>
        </w:rPr>
      </w:pPr>
      <w:r w:rsidRPr="00100163">
        <w:rPr>
          <w:rFonts w:ascii="Calibri" w:eastAsiaTheme="minorEastAsia" w:hAnsi="Calibri" w:cs="Arial"/>
          <w:b/>
          <w:sz w:val="24"/>
          <w:szCs w:val="24"/>
        </w:rPr>
        <w:lastRenderedPageBreak/>
        <w:t>§ 2º</w:t>
      </w:r>
      <w:r w:rsidRPr="00100163">
        <w:rPr>
          <w:rFonts w:ascii="Calibri" w:eastAsiaTheme="minorEastAsia" w:hAnsi="Calibri" w:cs="Arial"/>
          <w:sz w:val="24"/>
          <w:szCs w:val="24"/>
        </w:rPr>
        <w:t>. A empresa infratora terá seu alvará de funcionamento cassado após a aplicação de 3 (três) multas por descumprimento da presente lei.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sz w:val="24"/>
          <w:szCs w:val="24"/>
        </w:rPr>
      </w:pPr>
      <w:r w:rsidRPr="00100163">
        <w:rPr>
          <w:rFonts w:ascii="Calibri" w:eastAsiaTheme="minorEastAsia" w:hAnsi="Calibri" w:cs="Arial"/>
          <w:b/>
          <w:sz w:val="24"/>
          <w:szCs w:val="24"/>
        </w:rPr>
        <w:t>Art. 6º</w:t>
      </w:r>
      <w:r w:rsidRPr="00100163">
        <w:rPr>
          <w:rFonts w:ascii="Calibri" w:eastAsiaTheme="minorEastAsia" w:hAnsi="Calibri" w:cs="Arial"/>
          <w:sz w:val="24"/>
          <w:szCs w:val="24"/>
        </w:rPr>
        <w:t>. Poder Executivo regulamentará a presente Lei, no que couber, para assegurar-lhe fiel cumprimento.</w:t>
      </w:r>
    </w:p>
    <w:p w:rsidR="00100163" w:rsidRPr="00100163" w:rsidRDefault="000A1AF9" w:rsidP="00100163">
      <w:pPr>
        <w:spacing w:after="200" w:line="276" w:lineRule="auto"/>
        <w:jc w:val="both"/>
        <w:rPr>
          <w:rFonts w:ascii="Calibri" w:eastAsiaTheme="minorEastAsia" w:hAnsi="Calibri" w:cs="Arial"/>
          <w:sz w:val="24"/>
          <w:szCs w:val="24"/>
        </w:rPr>
      </w:pPr>
      <w:r w:rsidRPr="00100163">
        <w:rPr>
          <w:rFonts w:ascii="Calibri" w:eastAsiaTheme="minorEastAsia" w:hAnsi="Calibri" w:cs="Arial"/>
          <w:b/>
          <w:sz w:val="24"/>
          <w:szCs w:val="24"/>
        </w:rPr>
        <w:t>Art. 7º</w:t>
      </w:r>
      <w:r w:rsidRPr="00100163">
        <w:rPr>
          <w:rFonts w:ascii="Calibri" w:eastAsiaTheme="minorEastAsia" w:hAnsi="Calibri" w:cs="Arial"/>
          <w:sz w:val="24"/>
          <w:szCs w:val="24"/>
        </w:rPr>
        <w:t>. Esta Lei Complementar entra em vigor 30 (trinta) dias após sua publicação.</w:t>
      </w:r>
    </w:p>
    <w:p w:rsidR="00100163" w:rsidRPr="00100163" w:rsidRDefault="00100163" w:rsidP="00100163">
      <w:pPr>
        <w:spacing w:after="160"/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</w:rPr>
      </w:pPr>
    </w:p>
    <w:p w:rsidR="004B50E5" w:rsidRPr="004B50E5" w:rsidRDefault="004B50E5" w:rsidP="00100163">
      <w:pPr>
        <w:spacing w:line="0" w:lineRule="atLeast"/>
        <w:ind w:left="2820"/>
        <w:jc w:val="center"/>
        <w:rPr>
          <w:rFonts w:ascii="Calibri" w:hAnsi="Calibri" w:cs="Arial"/>
          <w:sz w:val="24"/>
          <w:szCs w:val="24"/>
        </w:rPr>
      </w:pPr>
    </w:p>
    <w:p w:rsidR="00D85739" w:rsidRPr="00D85739" w:rsidRDefault="00D85739" w:rsidP="00A507C2">
      <w:pPr>
        <w:jc w:val="both"/>
        <w:rPr>
          <w:rFonts w:ascii="Calibri" w:hAnsi="Calibri" w:cs="Arial"/>
          <w:sz w:val="24"/>
          <w:szCs w:val="24"/>
        </w:rPr>
      </w:pPr>
    </w:p>
    <w:p w:rsidR="00B911E0" w:rsidRPr="000D55D1" w:rsidRDefault="00B911E0" w:rsidP="00A507C2">
      <w:pPr>
        <w:spacing w:line="200" w:lineRule="exact"/>
        <w:jc w:val="both"/>
        <w:rPr>
          <w:rFonts w:ascii="Calibri" w:hAnsi="Calibri"/>
          <w:sz w:val="24"/>
          <w:szCs w:val="24"/>
        </w:rPr>
      </w:pPr>
    </w:p>
    <w:sectPr w:rsidR="00B911E0" w:rsidRPr="000D55D1" w:rsidSect="00FB56C6">
      <w:headerReference w:type="default" r:id="rId10"/>
      <w:footerReference w:type="default" r:id="rId11"/>
      <w:pgSz w:w="12242" w:h="15842" w:code="1"/>
      <w:pgMar w:top="1630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B5" w:rsidRDefault="002772B5">
      <w:r>
        <w:separator/>
      </w:r>
    </w:p>
  </w:endnote>
  <w:endnote w:type="continuationSeparator" w:id="0">
    <w:p w:rsidR="002772B5" w:rsidRDefault="0027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508489662"/>
      <w:docPartObj>
        <w:docPartGallery w:val="Page Numbers (Top of Page)"/>
        <w:docPartUnique/>
      </w:docPartObj>
    </w:sdtPr>
    <w:sdtEndPr/>
    <w:sdtContent>
      <w:p w:rsidR="00C64F29" w:rsidRPr="00C64F29" w:rsidRDefault="00C64F29" w:rsidP="00C64F29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C64F29">
          <w:rPr>
            <w:rFonts w:asciiTheme="minorHAnsi" w:hAnsiTheme="minorHAnsi" w:cstheme="minorHAnsi"/>
            <w:sz w:val="18"/>
            <w:szCs w:val="18"/>
          </w:rPr>
          <w:t>Indicação nº 644/2021 da 16ª S.O.</w:t>
        </w:r>
      </w:p>
      <w:p w:rsidR="00C64F29" w:rsidRPr="00C64F29" w:rsidRDefault="00C64F29" w:rsidP="00C64F29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C64F29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Pr="00C64F2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C64F29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Pr="00C64F2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2F05F7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C64F2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Pr="00C64F29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Pr="00C64F2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C64F29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Pr="00C64F2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2F05F7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5</w:t>
        </w:r>
        <w:r w:rsidRPr="00C64F29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p>
    </w:sdtContent>
  </w:sdt>
  <w:p w:rsidR="00C64F29" w:rsidRDefault="00C64F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B5" w:rsidRDefault="002772B5">
      <w:r>
        <w:separator/>
      </w:r>
    </w:p>
  </w:footnote>
  <w:footnote w:type="continuationSeparator" w:id="0">
    <w:p w:rsidR="002772B5" w:rsidRDefault="00277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0A1AF9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4547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0A1AF9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>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0A1AF9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2C484724">
      <w:start w:val="35"/>
      <w:numFmt w:val="upperLetter"/>
      <w:lvlText w:val="%1"/>
      <w:lvlJc w:val="left"/>
    </w:lvl>
    <w:lvl w:ilvl="1" w:tplc="9EDCEDFA">
      <w:start w:val="1"/>
      <w:numFmt w:val="bullet"/>
      <w:lvlText w:val=""/>
      <w:lvlJc w:val="left"/>
    </w:lvl>
    <w:lvl w:ilvl="2" w:tplc="4210DF90">
      <w:start w:val="1"/>
      <w:numFmt w:val="bullet"/>
      <w:lvlText w:val=""/>
      <w:lvlJc w:val="left"/>
    </w:lvl>
    <w:lvl w:ilvl="3" w:tplc="54DA93F4">
      <w:start w:val="1"/>
      <w:numFmt w:val="bullet"/>
      <w:lvlText w:val=""/>
      <w:lvlJc w:val="left"/>
    </w:lvl>
    <w:lvl w:ilvl="4" w:tplc="941452DE">
      <w:start w:val="1"/>
      <w:numFmt w:val="bullet"/>
      <w:lvlText w:val=""/>
      <w:lvlJc w:val="left"/>
    </w:lvl>
    <w:lvl w:ilvl="5" w:tplc="8AB26780">
      <w:start w:val="1"/>
      <w:numFmt w:val="bullet"/>
      <w:lvlText w:val=""/>
      <w:lvlJc w:val="left"/>
    </w:lvl>
    <w:lvl w:ilvl="6" w:tplc="F0A23282">
      <w:start w:val="1"/>
      <w:numFmt w:val="bullet"/>
      <w:lvlText w:val=""/>
      <w:lvlJc w:val="left"/>
    </w:lvl>
    <w:lvl w:ilvl="7" w:tplc="12F8FB2E">
      <w:start w:val="1"/>
      <w:numFmt w:val="bullet"/>
      <w:lvlText w:val=""/>
      <w:lvlJc w:val="left"/>
    </w:lvl>
    <w:lvl w:ilvl="8" w:tplc="DECAAD4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3140AEEA">
      <w:start w:val="61"/>
      <w:numFmt w:val="upperLetter"/>
      <w:lvlText w:val="%1"/>
      <w:lvlJc w:val="left"/>
    </w:lvl>
    <w:lvl w:ilvl="1" w:tplc="B2002B28">
      <w:start w:val="1"/>
      <w:numFmt w:val="bullet"/>
      <w:lvlText w:val=""/>
      <w:lvlJc w:val="left"/>
    </w:lvl>
    <w:lvl w:ilvl="2" w:tplc="F516EA84">
      <w:start w:val="1"/>
      <w:numFmt w:val="bullet"/>
      <w:lvlText w:val=""/>
      <w:lvlJc w:val="left"/>
    </w:lvl>
    <w:lvl w:ilvl="3" w:tplc="8C028DE4">
      <w:start w:val="1"/>
      <w:numFmt w:val="bullet"/>
      <w:lvlText w:val=""/>
      <w:lvlJc w:val="left"/>
    </w:lvl>
    <w:lvl w:ilvl="4" w:tplc="EC566448">
      <w:start w:val="1"/>
      <w:numFmt w:val="bullet"/>
      <w:lvlText w:val=""/>
      <w:lvlJc w:val="left"/>
    </w:lvl>
    <w:lvl w:ilvl="5" w:tplc="8BC8EB6A">
      <w:start w:val="1"/>
      <w:numFmt w:val="bullet"/>
      <w:lvlText w:val=""/>
      <w:lvlJc w:val="left"/>
    </w:lvl>
    <w:lvl w:ilvl="6" w:tplc="DD6AB942">
      <w:start w:val="1"/>
      <w:numFmt w:val="bullet"/>
      <w:lvlText w:val=""/>
      <w:lvlJc w:val="left"/>
    </w:lvl>
    <w:lvl w:ilvl="7" w:tplc="D136C086">
      <w:start w:val="1"/>
      <w:numFmt w:val="bullet"/>
      <w:lvlText w:val=""/>
      <w:lvlJc w:val="left"/>
    </w:lvl>
    <w:lvl w:ilvl="8" w:tplc="66C033D4">
      <w:start w:val="1"/>
      <w:numFmt w:val="bullet"/>
      <w:lvlText w:val=""/>
      <w:lvlJc w:val="left"/>
    </w:lvl>
  </w:abstractNum>
  <w:abstractNum w:abstractNumId="2">
    <w:nsid w:val="07F02273"/>
    <w:multiLevelType w:val="hybridMultilevel"/>
    <w:tmpl w:val="9C1EC512"/>
    <w:lvl w:ilvl="0" w:tplc="5FE07A00">
      <w:start w:val="1"/>
      <w:numFmt w:val="upperRoman"/>
      <w:lvlText w:val="%1."/>
      <w:lvlJc w:val="right"/>
      <w:pPr>
        <w:ind w:left="720" w:hanging="360"/>
      </w:pPr>
    </w:lvl>
    <w:lvl w:ilvl="1" w:tplc="B65A07DE" w:tentative="1">
      <w:start w:val="1"/>
      <w:numFmt w:val="lowerLetter"/>
      <w:lvlText w:val="%2."/>
      <w:lvlJc w:val="left"/>
      <w:pPr>
        <w:ind w:left="1440" w:hanging="360"/>
      </w:pPr>
    </w:lvl>
    <w:lvl w:ilvl="2" w:tplc="51102F7A" w:tentative="1">
      <w:start w:val="1"/>
      <w:numFmt w:val="lowerRoman"/>
      <w:lvlText w:val="%3."/>
      <w:lvlJc w:val="right"/>
      <w:pPr>
        <w:ind w:left="2160" w:hanging="180"/>
      </w:pPr>
    </w:lvl>
    <w:lvl w:ilvl="3" w:tplc="B024EDAA" w:tentative="1">
      <w:start w:val="1"/>
      <w:numFmt w:val="decimal"/>
      <w:lvlText w:val="%4."/>
      <w:lvlJc w:val="left"/>
      <w:pPr>
        <w:ind w:left="2880" w:hanging="360"/>
      </w:pPr>
    </w:lvl>
    <w:lvl w:ilvl="4" w:tplc="51B2B0A0" w:tentative="1">
      <w:start w:val="1"/>
      <w:numFmt w:val="lowerLetter"/>
      <w:lvlText w:val="%5."/>
      <w:lvlJc w:val="left"/>
      <w:pPr>
        <w:ind w:left="3600" w:hanging="360"/>
      </w:pPr>
    </w:lvl>
    <w:lvl w:ilvl="5" w:tplc="89CE07CE" w:tentative="1">
      <w:start w:val="1"/>
      <w:numFmt w:val="lowerRoman"/>
      <w:lvlText w:val="%6."/>
      <w:lvlJc w:val="right"/>
      <w:pPr>
        <w:ind w:left="4320" w:hanging="180"/>
      </w:pPr>
    </w:lvl>
    <w:lvl w:ilvl="6" w:tplc="BB30D784" w:tentative="1">
      <w:start w:val="1"/>
      <w:numFmt w:val="decimal"/>
      <w:lvlText w:val="%7."/>
      <w:lvlJc w:val="left"/>
      <w:pPr>
        <w:ind w:left="5040" w:hanging="360"/>
      </w:pPr>
    </w:lvl>
    <w:lvl w:ilvl="7" w:tplc="6ABC3662" w:tentative="1">
      <w:start w:val="1"/>
      <w:numFmt w:val="lowerLetter"/>
      <w:lvlText w:val="%8."/>
      <w:lvlJc w:val="left"/>
      <w:pPr>
        <w:ind w:left="5760" w:hanging="360"/>
      </w:pPr>
    </w:lvl>
    <w:lvl w:ilvl="8" w:tplc="C5DE5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B234F"/>
    <w:multiLevelType w:val="hybridMultilevel"/>
    <w:tmpl w:val="6C5EC188"/>
    <w:lvl w:ilvl="0" w:tplc="2350F7FC">
      <w:start w:val="1"/>
      <w:numFmt w:val="upperRoman"/>
      <w:lvlText w:val="%1."/>
      <w:lvlJc w:val="right"/>
      <w:pPr>
        <w:ind w:left="2138" w:hanging="360"/>
      </w:pPr>
    </w:lvl>
    <w:lvl w:ilvl="1" w:tplc="200CD52C" w:tentative="1">
      <w:start w:val="1"/>
      <w:numFmt w:val="lowerLetter"/>
      <w:lvlText w:val="%2."/>
      <w:lvlJc w:val="left"/>
      <w:pPr>
        <w:ind w:left="2858" w:hanging="360"/>
      </w:pPr>
    </w:lvl>
    <w:lvl w:ilvl="2" w:tplc="A9047C3C" w:tentative="1">
      <w:start w:val="1"/>
      <w:numFmt w:val="lowerRoman"/>
      <w:lvlText w:val="%3."/>
      <w:lvlJc w:val="right"/>
      <w:pPr>
        <w:ind w:left="3578" w:hanging="180"/>
      </w:pPr>
    </w:lvl>
    <w:lvl w:ilvl="3" w:tplc="6784B30C" w:tentative="1">
      <w:start w:val="1"/>
      <w:numFmt w:val="decimal"/>
      <w:lvlText w:val="%4."/>
      <w:lvlJc w:val="left"/>
      <w:pPr>
        <w:ind w:left="4298" w:hanging="360"/>
      </w:pPr>
    </w:lvl>
    <w:lvl w:ilvl="4" w:tplc="6D467044" w:tentative="1">
      <w:start w:val="1"/>
      <w:numFmt w:val="lowerLetter"/>
      <w:lvlText w:val="%5."/>
      <w:lvlJc w:val="left"/>
      <w:pPr>
        <w:ind w:left="5018" w:hanging="360"/>
      </w:pPr>
    </w:lvl>
    <w:lvl w:ilvl="5" w:tplc="6C8EF1C8" w:tentative="1">
      <w:start w:val="1"/>
      <w:numFmt w:val="lowerRoman"/>
      <w:lvlText w:val="%6."/>
      <w:lvlJc w:val="right"/>
      <w:pPr>
        <w:ind w:left="5738" w:hanging="180"/>
      </w:pPr>
    </w:lvl>
    <w:lvl w:ilvl="6" w:tplc="17EC0D00" w:tentative="1">
      <w:start w:val="1"/>
      <w:numFmt w:val="decimal"/>
      <w:lvlText w:val="%7."/>
      <w:lvlJc w:val="left"/>
      <w:pPr>
        <w:ind w:left="6458" w:hanging="360"/>
      </w:pPr>
    </w:lvl>
    <w:lvl w:ilvl="7" w:tplc="14EE59CC" w:tentative="1">
      <w:start w:val="1"/>
      <w:numFmt w:val="lowerLetter"/>
      <w:lvlText w:val="%8."/>
      <w:lvlJc w:val="left"/>
      <w:pPr>
        <w:ind w:left="7178" w:hanging="360"/>
      </w:pPr>
    </w:lvl>
    <w:lvl w:ilvl="8" w:tplc="585AFF34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732A5620"/>
    <w:multiLevelType w:val="hybridMultilevel"/>
    <w:tmpl w:val="BF1E97A8"/>
    <w:lvl w:ilvl="0" w:tplc="13DC6396">
      <w:start w:val="1"/>
      <w:numFmt w:val="upperRoman"/>
      <w:lvlText w:val="%1."/>
      <w:lvlJc w:val="right"/>
      <w:pPr>
        <w:ind w:left="2138" w:hanging="360"/>
      </w:pPr>
    </w:lvl>
    <w:lvl w:ilvl="1" w:tplc="D4E4D6D8" w:tentative="1">
      <w:start w:val="1"/>
      <w:numFmt w:val="lowerLetter"/>
      <w:lvlText w:val="%2."/>
      <w:lvlJc w:val="left"/>
      <w:pPr>
        <w:ind w:left="2858" w:hanging="360"/>
      </w:pPr>
    </w:lvl>
    <w:lvl w:ilvl="2" w:tplc="941EAAE8" w:tentative="1">
      <w:start w:val="1"/>
      <w:numFmt w:val="lowerRoman"/>
      <w:lvlText w:val="%3."/>
      <w:lvlJc w:val="right"/>
      <w:pPr>
        <w:ind w:left="3578" w:hanging="180"/>
      </w:pPr>
    </w:lvl>
    <w:lvl w:ilvl="3" w:tplc="1D62A9FA" w:tentative="1">
      <w:start w:val="1"/>
      <w:numFmt w:val="decimal"/>
      <w:lvlText w:val="%4."/>
      <w:lvlJc w:val="left"/>
      <w:pPr>
        <w:ind w:left="4298" w:hanging="360"/>
      </w:pPr>
    </w:lvl>
    <w:lvl w:ilvl="4" w:tplc="5A8AC47A" w:tentative="1">
      <w:start w:val="1"/>
      <w:numFmt w:val="lowerLetter"/>
      <w:lvlText w:val="%5."/>
      <w:lvlJc w:val="left"/>
      <w:pPr>
        <w:ind w:left="5018" w:hanging="360"/>
      </w:pPr>
    </w:lvl>
    <w:lvl w:ilvl="5" w:tplc="F168CE3A" w:tentative="1">
      <w:start w:val="1"/>
      <w:numFmt w:val="lowerRoman"/>
      <w:lvlText w:val="%6."/>
      <w:lvlJc w:val="right"/>
      <w:pPr>
        <w:ind w:left="5738" w:hanging="180"/>
      </w:pPr>
    </w:lvl>
    <w:lvl w:ilvl="6" w:tplc="13643DCA" w:tentative="1">
      <w:start w:val="1"/>
      <w:numFmt w:val="decimal"/>
      <w:lvlText w:val="%7."/>
      <w:lvlJc w:val="left"/>
      <w:pPr>
        <w:ind w:left="6458" w:hanging="360"/>
      </w:pPr>
    </w:lvl>
    <w:lvl w:ilvl="7" w:tplc="C7D018E6" w:tentative="1">
      <w:start w:val="1"/>
      <w:numFmt w:val="lowerLetter"/>
      <w:lvlText w:val="%8."/>
      <w:lvlJc w:val="left"/>
      <w:pPr>
        <w:ind w:left="7178" w:hanging="360"/>
      </w:pPr>
    </w:lvl>
    <w:lvl w:ilvl="8" w:tplc="9D707E3A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0FB6"/>
    <w:rsid w:val="00006B9B"/>
    <w:rsid w:val="00010ACE"/>
    <w:rsid w:val="0002015F"/>
    <w:rsid w:val="000305D1"/>
    <w:rsid w:val="00031306"/>
    <w:rsid w:val="000321A6"/>
    <w:rsid w:val="000A1AF9"/>
    <w:rsid w:val="000A698C"/>
    <w:rsid w:val="000D55D1"/>
    <w:rsid w:val="000E7FE8"/>
    <w:rsid w:val="000F1434"/>
    <w:rsid w:val="000F779A"/>
    <w:rsid w:val="00100163"/>
    <w:rsid w:val="001077D4"/>
    <w:rsid w:val="00113B68"/>
    <w:rsid w:val="00123C8D"/>
    <w:rsid w:val="00132944"/>
    <w:rsid w:val="0014018E"/>
    <w:rsid w:val="00144D13"/>
    <w:rsid w:val="00195612"/>
    <w:rsid w:val="001A6FEC"/>
    <w:rsid w:val="001B1A73"/>
    <w:rsid w:val="001B4567"/>
    <w:rsid w:val="001C1038"/>
    <w:rsid w:val="001C4A16"/>
    <w:rsid w:val="0020320F"/>
    <w:rsid w:val="0022551A"/>
    <w:rsid w:val="00233F18"/>
    <w:rsid w:val="0024105A"/>
    <w:rsid w:val="002551B2"/>
    <w:rsid w:val="0027066D"/>
    <w:rsid w:val="00273043"/>
    <w:rsid w:val="002772B5"/>
    <w:rsid w:val="00296C8F"/>
    <w:rsid w:val="002A7B48"/>
    <w:rsid w:val="002C10F4"/>
    <w:rsid w:val="002C31A7"/>
    <w:rsid w:val="002C619A"/>
    <w:rsid w:val="002E0B5A"/>
    <w:rsid w:val="002E5983"/>
    <w:rsid w:val="002F05F7"/>
    <w:rsid w:val="003211CA"/>
    <w:rsid w:val="003235EE"/>
    <w:rsid w:val="0035301B"/>
    <w:rsid w:val="00363AB3"/>
    <w:rsid w:val="0037516E"/>
    <w:rsid w:val="003A26F3"/>
    <w:rsid w:val="003A4112"/>
    <w:rsid w:val="003C4D78"/>
    <w:rsid w:val="003C7E79"/>
    <w:rsid w:val="003E1D85"/>
    <w:rsid w:val="003E3442"/>
    <w:rsid w:val="003E7F5E"/>
    <w:rsid w:val="004311F3"/>
    <w:rsid w:val="004314B6"/>
    <w:rsid w:val="00446AB6"/>
    <w:rsid w:val="00446E80"/>
    <w:rsid w:val="00454C3D"/>
    <w:rsid w:val="004775AC"/>
    <w:rsid w:val="0048317E"/>
    <w:rsid w:val="0049790D"/>
    <w:rsid w:val="004B50E5"/>
    <w:rsid w:val="004C4C42"/>
    <w:rsid w:val="004E5D54"/>
    <w:rsid w:val="004F231B"/>
    <w:rsid w:val="0050078F"/>
    <w:rsid w:val="00512498"/>
    <w:rsid w:val="005310C6"/>
    <w:rsid w:val="005358B0"/>
    <w:rsid w:val="00582D63"/>
    <w:rsid w:val="0058744D"/>
    <w:rsid w:val="00592ABA"/>
    <w:rsid w:val="00593256"/>
    <w:rsid w:val="005C133B"/>
    <w:rsid w:val="005D0C52"/>
    <w:rsid w:val="005E3816"/>
    <w:rsid w:val="005F3FC8"/>
    <w:rsid w:val="00611BE3"/>
    <w:rsid w:val="00612E77"/>
    <w:rsid w:val="006178CC"/>
    <w:rsid w:val="00623527"/>
    <w:rsid w:val="006321DF"/>
    <w:rsid w:val="00641D69"/>
    <w:rsid w:val="006A1453"/>
    <w:rsid w:val="006A52F6"/>
    <w:rsid w:val="006D0988"/>
    <w:rsid w:val="006D1089"/>
    <w:rsid w:val="006D7D07"/>
    <w:rsid w:val="006F1EED"/>
    <w:rsid w:val="006F2AE2"/>
    <w:rsid w:val="006F45AD"/>
    <w:rsid w:val="00713D8D"/>
    <w:rsid w:val="0072412E"/>
    <w:rsid w:val="007246C1"/>
    <w:rsid w:val="00753432"/>
    <w:rsid w:val="007564D6"/>
    <w:rsid w:val="007749EF"/>
    <w:rsid w:val="00796DE5"/>
    <w:rsid w:val="007B6317"/>
    <w:rsid w:val="007C51C0"/>
    <w:rsid w:val="00802ADA"/>
    <w:rsid w:val="008039A5"/>
    <w:rsid w:val="008610F8"/>
    <w:rsid w:val="00874F1E"/>
    <w:rsid w:val="00875F48"/>
    <w:rsid w:val="008845C3"/>
    <w:rsid w:val="00897473"/>
    <w:rsid w:val="008B2A1E"/>
    <w:rsid w:val="008E600E"/>
    <w:rsid w:val="00910781"/>
    <w:rsid w:val="009275EA"/>
    <w:rsid w:val="00933691"/>
    <w:rsid w:val="009543E9"/>
    <w:rsid w:val="00974DA9"/>
    <w:rsid w:val="009A28F7"/>
    <w:rsid w:val="009B64C2"/>
    <w:rsid w:val="009C09E9"/>
    <w:rsid w:val="009C1D14"/>
    <w:rsid w:val="009F658C"/>
    <w:rsid w:val="00A0634E"/>
    <w:rsid w:val="00A36135"/>
    <w:rsid w:val="00A4532A"/>
    <w:rsid w:val="00A477CF"/>
    <w:rsid w:val="00A507C2"/>
    <w:rsid w:val="00A55DA0"/>
    <w:rsid w:val="00A61C03"/>
    <w:rsid w:val="00A82E51"/>
    <w:rsid w:val="00AC2823"/>
    <w:rsid w:val="00AC3C20"/>
    <w:rsid w:val="00AD6589"/>
    <w:rsid w:val="00AE3E0C"/>
    <w:rsid w:val="00AE7C69"/>
    <w:rsid w:val="00B00F0A"/>
    <w:rsid w:val="00B0401F"/>
    <w:rsid w:val="00B13ECE"/>
    <w:rsid w:val="00B212D4"/>
    <w:rsid w:val="00B4339E"/>
    <w:rsid w:val="00B47BA6"/>
    <w:rsid w:val="00B50C89"/>
    <w:rsid w:val="00B73A13"/>
    <w:rsid w:val="00B911E0"/>
    <w:rsid w:val="00B95C43"/>
    <w:rsid w:val="00BD31C1"/>
    <w:rsid w:val="00BD7BAB"/>
    <w:rsid w:val="00BE1B0B"/>
    <w:rsid w:val="00BE2311"/>
    <w:rsid w:val="00C126C9"/>
    <w:rsid w:val="00C312BC"/>
    <w:rsid w:val="00C4028B"/>
    <w:rsid w:val="00C42248"/>
    <w:rsid w:val="00C451E4"/>
    <w:rsid w:val="00C60428"/>
    <w:rsid w:val="00C64F29"/>
    <w:rsid w:val="00C71EEE"/>
    <w:rsid w:val="00C73189"/>
    <w:rsid w:val="00C76AF0"/>
    <w:rsid w:val="00C7730C"/>
    <w:rsid w:val="00C870C0"/>
    <w:rsid w:val="00CC35AE"/>
    <w:rsid w:val="00CF20F7"/>
    <w:rsid w:val="00CF7A61"/>
    <w:rsid w:val="00D33A4E"/>
    <w:rsid w:val="00D5013F"/>
    <w:rsid w:val="00D6614C"/>
    <w:rsid w:val="00D70DEE"/>
    <w:rsid w:val="00D711E1"/>
    <w:rsid w:val="00D77A23"/>
    <w:rsid w:val="00D77FDB"/>
    <w:rsid w:val="00D85739"/>
    <w:rsid w:val="00DA13EA"/>
    <w:rsid w:val="00DA4596"/>
    <w:rsid w:val="00DC2E8B"/>
    <w:rsid w:val="00DD3902"/>
    <w:rsid w:val="00DF0E2D"/>
    <w:rsid w:val="00DF5B78"/>
    <w:rsid w:val="00E02145"/>
    <w:rsid w:val="00E12EF7"/>
    <w:rsid w:val="00E134A7"/>
    <w:rsid w:val="00E147FF"/>
    <w:rsid w:val="00E15499"/>
    <w:rsid w:val="00E2797B"/>
    <w:rsid w:val="00E74BF4"/>
    <w:rsid w:val="00E80FCC"/>
    <w:rsid w:val="00E82449"/>
    <w:rsid w:val="00E85810"/>
    <w:rsid w:val="00E902A5"/>
    <w:rsid w:val="00E93139"/>
    <w:rsid w:val="00E93BB5"/>
    <w:rsid w:val="00E94B0C"/>
    <w:rsid w:val="00EB38CD"/>
    <w:rsid w:val="00EB67D1"/>
    <w:rsid w:val="00EC3BA8"/>
    <w:rsid w:val="00ED3BD2"/>
    <w:rsid w:val="00F0176A"/>
    <w:rsid w:val="00F02DC7"/>
    <w:rsid w:val="00F13B9A"/>
    <w:rsid w:val="00F37BAC"/>
    <w:rsid w:val="00F621D6"/>
    <w:rsid w:val="00FB2824"/>
    <w:rsid w:val="00FB56C6"/>
    <w:rsid w:val="00FE48D6"/>
    <w:rsid w:val="00FF55C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alhas.com.br/Quentes/17,MI185465,61044-TAC+e+TEC+sao+proibidas+e+tarifa+de+abertura+de+cadastro+e+valid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galhas.com.br/Quentes/17,MI185465,61044-TAC+e+TEC+sao+proibidas+e+tarifa+de+abertura+de+cadastro+e+valid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48</cp:revision>
  <cp:lastPrinted>2021-09-30T17:57:00Z</cp:lastPrinted>
  <dcterms:created xsi:type="dcterms:W3CDTF">2018-10-31T13:28:00Z</dcterms:created>
  <dcterms:modified xsi:type="dcterms:W3CDTF">2021-09-30T17:57:00Z</dcterms:modified>
</cp:coreProperties>
</file>